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AD7A" w14:textId="5F2D5393" w:rsidR="00E54044" w:rsidRDefault="00E54044" w:rsidP="00E54044">
      <w:pPr>
        <w:jc w:val="center"/>
        <w:rPr>
          <w:rFonts w:ascii="Museo Sans 500" w:hAnsi="Museo Sans 500"/>
          <w:lang w:val="es-SV"/>
        </w:rPr>
      </w:pPr>
      <w:r w:rsidRPr="00E54044">
        <w:rPr>
          <w:rFonts w:ascii="Museo Sans 500" w:hAnsi="Museo Sans 500"/>
          <w:lang w:val="es-SV"/>
        </w:rPr>
        <w:t>BOLETÍN INFORMATIVO Nº DGA-0</w:t>
      </w:r>
      <w:r w:rsidR="00B72A84">
        <w:rPr>
          <w:rFonts w:ascii="Museo Sans 500" w:hAnsi="Museo Sans 500"/>
          <w:lang w:val="es-SV"/>
        </w:rPr>
        <w:t>4</w:t>
      </w:r>
      <w:r w:rsidR="00236B82">
        <w:rPr>
          <w:rFonts w:ascii="Museo Sans 500" w:hAnsi="Museo Sans 500"/>
          <w:lang w:val="es-SV"/>
        </w:rPr>
        <w:t>8</w:t>
      </w:r>
      <w:r w:rsidRPr="00E54044">
        <w:rPr>
          <w:rFonts w:ascii="Museo Sans 500" w:hAnsi="Museo Sans 500"/>
          <w:lang w:val="es-SV"/>
        </w:rPr>
        <w:t>-20</w:t>
      </w:r>
      <w:r>
        <w:rPr>
          <w:rFonts w:ascii="Museo Sans 500" w:hAnsi="Museo Sans 500"/>
          <w:lang w:val="es-SV"/>
        </w:rPr>
        <w:t>25</w:t>
      </w:r>
      <w:r w:rsidRPr="00E54044">
        <w:rPr>
          <w:rFonts w:ascii="Museo Sans 500" w:hAnsi="Museo Sans 500"/>
          <w:lang w:val="es-SV"/>
        </w:rPr>
        <w:t xml:space="preserve">. </w:t>
      </w:r>
    </w:p>
    <w:p w14:paraId="73B90E13" w14:textId="169B7DA8" w:rsidR="00E54044" w:rsidRDefault="00E54044" w:rsidP="00E54044">
      <w:pPr>
        <w:jc w:val="center"/>
        <w:rPr>
          <w:rFonts w:ascii="Museo Sans 500" w:hAnsi="Museo Sans 500"/>
          <w:lang w:val="es-SV"/>
        </w:rPr>
      </w:pPr>
    </w:p>
    <w:p w14:paraId="66305D70" w14:textId="77777777" w:rsidR="00BA4877" w:rsidRPr="00E54044" w:rsidRDefault="00BA4877" w:rsidP="00E54044">
      <w:pPr>
        <w:jc w:val="center"/>
        <w:rPr>
          <w:rFonts w:ascii="Museo Sans 500" w:hAnsi="Museo Sans 500"/>
          <w:lang w:val="es-SV"/>
        </w:rPr>
      </w:pPr>
    </w:p>
    <w:p w14:paraId="7E8BAA73" w14:textId="0D61C36F" w:rsidR="00953508" w:rsidRDefault="00791742" w:rsidP="00953508">
      <w:pPr>
        <w:jc w:val="center"/>
        <w:rPr>
          <w:rFonts w:ascii="Museo Sans 500" w:hAnsi="Museo Sans 500"/>
          <w:lang w:val="es-SV"/>
        </w:rPr>
      </w:pPr>
      <w:bookmarkStart w:id="0" w:name="_GoBack"/>
      <w:r>
        <w:rPr>
          <w:rFonts w:ascii="Museo Sans 500" w:hAnsi="Museo Sans 500"/>
          <w:lang w:val="es-SV"/>
        </w:rPr>
        <w:t>LINEAMIENTOS</w:t>
      </w:r>
      <w:r w:rsidR="00E54044">
        <w:rPr>
          <w:rFonts w:ascii="Museo Sans 500" w:hAnsi="Museo Sans 500"/>
          <w:lang w:val="es-SV"/>
        </w:rPr>
        <w:t xml:space="preserve"> </w:t>
      </w:r>
      <w:r w:rsidR="00953508">
        <w:rPr>
          <w:rFonts w:ascii="Museo Sans 500" w:hAnsi="Museo Sans 500"/>
          <w:lang w:val="es-SV"/>
        </w:rPr>
        <w:t>PARA</w:t>
      </w:r>
      <w:r w:rsidR="00041DE5">
        <w:rPr>
          <w:rFonts w:ascii="Museo Sans 500" w:hAnsi="Museo Sans 500"/>
          <w:lang w:val="es-SV"/>
        </w:rPr>
        <w:t xml:space="preserve"> CIRCULACIÓN DE VEHICULOS</w:t>
      </w:r>
      <w:r w:rsidR="00953508">
        <w:rPr>
          <w:rFonts w:ascii="Museo Sans 500" w:hAnsi="Museo Sans 500"/>
          <w:lang w:val="es-SV"/>
        </w:rPr>
        <w:t xml:space="preserve"> DE TRANSPORTE DE CARGA TERRESTRE</w:t>
      </w:r>
      <w:r w:rsidR="00853C9F">
        <w:rPr>
          <w:rFonts w:ascii="Museo Sans 500" w:hAnsi="Museo Sans 500"/>
          <w:lang w:val="es-SV"/>
        </w:rPr>
        <w:t xml:space="preserve"> EN EL TERRITORIO </w:t>
      </w:r>
      <w:r w:rsidR="00D83CAC">
        <w:rPr>
          <w:rFonts w:ascii="Museo Sans 500" w:hAnsi="Museo Sans 500"/>
          <w:lang w:val="es-SV"/>
        </w:rPr>
        <w:t xml:space="preserve">ADUANERO </w:t>
      </w:r>
      <w:r w:rsidR="00853C9F">
        <w:rPr>
          <w:rFonts w:ascii="Museo Sans 500" w:hAnsi="Museo Sans 500"/>
          <w:lang w:val="es-SV"/>
        </w:rPr>
        <w:t>NACIONAL</w:t>
      </w:r>
    </w:p>
    <w:bookmarkEnd w:id="0"/>
    <w:p w14:paraId="3D123AD9" w14:textId="77777777" w:rsidR="00953508" w:rsidRDefault="00953508" w:rsidP="00953508">
      <w:pPr>
        <w:jc w:val="center"/>
        <w:rPr>
          <w:rFonts w:ascii="Museo Sans 500" w:hAnsi="Museo Sans 500"/>
          <w:lang w:val="es-SV"/>
        </w:rPr>
      </w:pPr>
    </w:p>
    <w:p w14:paraId="4F2D4421" w14:textId="36984D24" w:rsidR="00BA4877" w:rsidRDefault="00EF341A" w:rsidP="00041DE5">
      <w:pPr>
        <w:pStyle w:val="NormalWeb"/>
        <w:spacing w:before="280" w:beforeAutospacing="0" w:after="0" w:afterAutospacing="0"/>
        <w:jc w:val="both"/>
        <w:textAlignment w:val="baseline"/>
        <w:rPr>
          <w:rFonts w:ascii="Museo Sans 100" w:eastAsia="Museo Sans 100" w:hAnsi="Museo Sans 100" w:cs="Museo Sans 100"/>
          <w:sz w:val="23"/>
          <w:szCs w:val="23"/>
        </w:rPr>
      </w:pPr>
      <w:r w:rsidRPr="00FE336C"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>La Dirección General de Aduanas, comunica</w:t>
      </w:r>
      <w:r>
        <w:rPr>
          <w:rFonts w:ascii="Museo Sans 100" w:eastAsia="Museo Sans 100" w:hAnsi="Museo Sans 100" w:cs="Museo Sans 100"/>
          <w:sz w:val="23"/>
          <w:szCs w:val="23"/>
        </w:rPr>
        <w:t xml:space="preserve"> </w:t>
      </w:r>
      <w:r w:rsidRPr="00FE336C"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 xml:space="preserve">a </w:t>
      </w:r>
      <w:r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 xml:space="preserve">las diferentes Asociaciones de Transporte de Carga Terrestre, Auxiliares de la Función Pública Aduanera y usuarios en general, que </w:t>
      </w:r>
      <w:r w:rsidR="002D3796"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 xml:space="preserve">de acuerdo </w:t>
      </w:r>
      <w:r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>a los</w:t>
      </w:r>
      <w:r w:rsidRPr="00FE336C"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 xml:space="preserve"> </w:t>
      </w:r>
      <w:r>
        <w:rPr>
          <w:rFonts w:ascii="Museo Sans 100" w:eastAsia="Museo Sans 100" w:hAnsi="Museo Sans 100" w:cs="Museo Sans 100"/>
          <w:sz w:val="23"/>
          <w:szCs w:val="23"/>
        </w:rPr>
        <w:t>lineamientos</w:t>
      </w:r>
      <w:r w:rsidRPr="00E54044">
        <w:rPr>
          <w:rFonts w:ascii="Museo Sans 100" w:eastAsia="Museo Sans 100" w:hAnsi="Museo Sans 100" w:cs="Museo Sans 100"/>
          <w:sz w:val="23"/>
          <w:szCs w:val="23"/>
        </w:rPr>
        <w:t xml:space="preserve"> </w:t>
      </w:r>
      <w:r>
        <w:rPr>
          <w:rFonts w:ascii="Museo Sans 100" w:eastAsia="Museo Sans 100" w:hAnsi="Museo Sans 100" w:cs="Museo Sans 100"/>
          <w:sz w:val="23"/>
          <w:szCs w:val="23"/>
        </w:rPr>
        <w:t xml:space="preserve">emitidos  por </w:t>
      </w:r>
      <w:r w:rsidRPr="00E54044">
        <w:rPr>
          <w:rFonts w:ascii="Museo Sans 100" w:eastAsia="Museo Sans 100" w:hAnsi="Museo Sans 100" w:cs="Museo Sans 100"/>
          <w:sz w:val="23"/>
          <w:szCs w:val="23"/>
        </w:rPr>
        <w:t>e</w:t>
      </w:r>
      <w:r>
        <w:rPr>
          <w:rFonts w:ascii="Museo Sans 100" w:eastAsia="Museo Sans 100" w:hAnsi="Museo Sans 100" w:cs="Museo Sans 100"/>
          <w:sz w:val="23"/>
          <w:szCs w:val="23"/>
        </w:rPr>
        <w:t>l</w:t>
      </w:r>
      <w:r w:rsidRPr="00E54044">
        <w:rPr>
          <w:rFonts w:ascii="Museo Sans 100" w:eastAsia="Museo Sans 100" w:hAnsi="Museo Sans 100" w:cs="Museo Sans 100"/>
          <w:sz w:val="23"/>
          <w:szCs w:val="23"/>
        </w:rPr>
        <w:t xml:space="preserve"> </w:t>
      </w:r>
      <w:r>
        <w:rPr>
          <w:rFonts w:ascii="Museo Sans 100" w:eastAsia="Museo Sans 100" w:hAnsi="Museo Sans 100" w:cs="Museo Sans 100"/>
          <w:sz w:val="23"/>
          <w:szCs w:val="23"/>
        </w:rPr>
        <w:t>Viceministerio de Transporte</w:t>
      </w:r>
      <w:r w:rsidRPr="00FE336C"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 xml:space="preserve"> </w:t>
      </w:r>
      <w:r w:rsidR="00C26A6E">
        <w:rPr>
          <w:rFonts w:ascii="Museo Sans 100" w:hAnsi="Museo Sans 100"/>
          <w:color w:val="000000" w:themeColor="text1"/>
          <w:spacing w:val="-2"/>
          <w:w w:val="105"/>
          <w:sz w:val="22"/>
          <w:szCs w:val="22"/>
        </w:rPr>
        <w:t xml:space="preserve">reitera </w:t>
      </w:r>
      <w:r w:rsidR="00041DE5">
        <w:rPr>
          <w:rFonts w:ascii="Museo Sans 100" w:eastAsia="Museo Sans 100" w:hAnsi="Museo Sans 100" w:cs="Museo Sans 100"/>
          <w:sz w:val="23"/>
          <w:szCs w:val="23"/>
        </w:rPr>
        <w:t>que todos l</w:t>
      </w:r>
      <w:r w:rsidR="00041DE5" w:rsidRPr="00953508">
        <w:rPr>
          <w:rFonts w:ascii="Museo Sans 100" w:eastAsia="Museo Sans 100" w:hAnsi="Museo Sans 100" w:cs="Museo Sans 100"/>
          <w:sz w:val="23"/>
          <w:szCs w:val="23"/>
          <w:lang w:eastAsia="en-US"/>
        </w:rPr>
        <w:t xml:space="preserve">os vehículos que transporten cargas con pesos y dimensiones mayores a las permitidas por la Ley </w:t>
      </w:r>
      <w:r w:rsidR="00C26A6E">
        <w:rPr>
          <w:rFonts w:ascii="Museo Sans 100" w:eastAsia="Museo Sans 100" w:hAnsi="Museo Sans 100" w:cs="Museo Sans 100"/>
          <w:sz w:val="23"/>
          <w:szCs w:val="23"/>
          <w:lang w:eastAsia="en-US"/>
        </w:rPr>
        <w:t xml:space="preserve">Especial </w:t>
      </w:r>
      <w:r w:rsidR="00041DE5" w:rsidRPr="00953508">
        <w:rPr>
          <w:rFonts w:ascii="Museo Sans 100" w:eastAsia="Museo Sans 100" w:hAnsi="Museo Sans 100" w:cs="Museo Sans 100"/>
          <w:sz w:val="23"/>
          <w:szCs w:val="23"/>
          <w:lang w:eastAsia="en-US"/>
        </w:rPr>
        <w:t xml:space="preserve">de Transporte de Carga por Carretera, deberán contar con el permiso </w:t>
      </w:r>
      <w:r w:rsidR="0058702B">
        <w:rPr>
          <w:rFonts w:ascii="Museo Sans 100" w:eastAsia="Museo Sans 100" w:hAnsi="Museo Sans 100" w:cs="Museo Sans 100"/>
          <w:sz w:val="23"/>
          <w:szCs w:val="23"/>
          <w:lang w:eastAsia="en-US"/>
        </w:rPr>
        <w:t>emitido por el</w:t>
      </w:r>
      <w:r w:rsidR="00041DE5" w:rsidRPr="00953508">
        <w:rPr>
          <w:rFonts w:ascii="Museo Sans 100" w:eastAsia="Museo Sans 100" w:hAnsi="Museo Sans 100" w:cs="Museo Sans 100"/>
          <w:sz w:val="23"/>
          <w:szCs w:val="23"/>
          <w:lang w:eastAsia="en-US"/>
        </w:rPr>
        <w:t xml:space="preserve"> </w:t>
      </w:r>
      <w:r w:rsidR="0058702B">
        <w:rPr>
          <w:rFonts w:ascii="Museo Sans 100" w:eastAsia="Museo Sans 100" w:hAnsi="Museo Sans 100" w:cs="Museo Sans 100"/>
          <w:sz w:val="23"/>
          <w:szCs w:val="23"/>
        </w:rPr>
        <w:t>Viceministerio de Transporte</w:t>
      </w:r>
      <w:r w:rsidR="002D3796">
        <w:rPr>
          <w:rFonts w:ascii="Museo Sans 100" w:eastAsia="Museo Sans 100" w:hAnsi="Museo Sans 100" w:cs="Museo Sans 100"/>
          <w:sz w:val="23"/>
          <w:szCs w:val="23"/>
        </w:rPr>
        <w:t>,</w:t>
      </w:r>
      <w:r w:rsidR="0058702B">
        <w:rPr>
          <w:rFonts w:ascii="Museo Sans 100" w:eastAsia="Museo Sans 100" w:hAnsi="Museo Sans 100" w:cs="Museo Sans 100"/>
          <w:sz w:val="23"/>
          <w:szCs w:val="23"/>
        </w:rPr>
        <w:t xml:space="preserve"> para poder circular por la red vial nacional según detalle: </w:t>
      </w:r>
    </w:p>
    <w:p w14:paraId="16BB0516" w14:textId="1FBED7D0" w:rsidR="00C66DBF" w:rsidRDefault="00E54044" w:rsidP="00C66DBF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5"/>
        <w:ind w:right="486"/>
        <w:jc w:val="both"/>
        <w:rPr>
          <w:rFonts w:ascii="Museo Sans 100" w:eastAsia="Museo Sans 100" w:hAnsi="Museo Sans 100" w:cs="Museo Sans 100"/>
          <w:sz w:val="23"/>
          <w:szCs w:val="23"/>
          <w:lang w:val="es-SV"/>
        </w:rPr>
      </w:pP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Todos los vehículos nacionales y extranjeros que transporten vehículos (</w:t>
      </w:r>
      <w:proofErr w:type="spellStart"/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tacuazinas</w:t>
      </w:r>
      <w:proofErr w:type="spellEnd"/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), y dobles remolques, deberán contar con el respectivo permiso para realizar dicha actividad. </w:t>
      </w:r>
    </w:p>
    <w:p w14:paraId="776A1097" w14:textId="77777777" w:rsidR="00C66DBF" w:rsidRDefault="00C66DBF" w:rsidP="00C66DB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285"/>
        <w:ind w:left="381" w:right="486"/>
        <w:jc w:val="both"/>
        <w:rPr>
          <w:rFonts w:ascii="Museo Sans 100" w:eastAsia="Museo Sans 100" w:hAnsi="Museo Sans 100" w:cs="Museo Sans 100"/>
          <w:sz w:val="23"/>
          <w:szCs w:val="23"/>
          <w:lang w:val="es-SV"/>
        </w:rPr>
      </w:pPr>
    </w:p>
    <w:p w14:paraId="72AA76FB" w14:textId="77777777" w:rsidR="00C66DBF" w:rsidRDefault="00E54044" w:rsidP="00C66DBF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5"/>
        <w:ind w:right="486"/>
        <w:jc w:val="both"/>
        <w:rPr>
          <w:rFonts w:ascii="Museo Sans 100" w:eastAsia="Museo Sans 100" w:hAnsi="Museo Sans 100" w:cs="Museo Sans 100"/>
          <w:sz w:val="23"/>
          <w:szCs w:val="23"/>
          <w:lang w:val="es-SV"/>
        </w:rPr>
      </w:pP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Los vehículos que transporten materiales peligrosos y cargas mayores a las permitidas deberán contar con el permiso respectivo.  </w:t>
      </w:r>
    </w:p>
    <w:p w14:paraId="10A3673C" w14:textId="77777777" w:rsidR="00C66DBF" w:rsidRPr="00C66DBF" w:rsidRDefault="00C66DBF" w:rsidP="00C66DBF">
      <w:pPr>
        <w:pStyle w:val="Prrafodelista"/>
        <w:rPr>
          <w:rFonts w:ascii="Museo Sans 100" w:eastAsia="Museo Sans 100" w:hAnsi="Museo Sans 100" w:cs="Museo Sans 100"/>
          <w:sz w:val="23"/>
          <w:szCs w:val="23"/>
          <w:lang w:val="es-SV"/>
        </w:rPr>
      </w:pPr>
    </w:p>
    <w:p w14:paraId="0D341689" w14:textId="77777777" w:rsidR="00C66DBF" w:rsidRDefault="004E2A60" w:rsidP="00C66DBF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5"/>
        <w:ind w:right="486"/>
        <w:jc w:val="both"/>
        <w:rPr>
          <w:rFonts w:ascii="Museo Sans 100" w:eastAsia="Museo Sans 100" w:hAnsi="Museo Sans 100" w:cs="Museo Sans 100"/>
          <w:sz w:val="23"/>
          <w:szCs w:val="23"/>
          <w:lang w:val="es-SV"/>
        </w:rPr>
      </w:pP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Los medios de transportes </w:t>
      </w:r>
      <w:r w:rsidR="00F01CBA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remolques,</w:t>
      </w:r>
      <w:r w:rsidR="00C26A6E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(rastras),</w:t>
      </w:r>
      <w:r w:rsidR="00F01CBA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semirremolques y cabezales de cuatro ejes no son inscribibles en el registro público de vehículos</w:t>
      </w:r>
      <w:r w:rsidR="00C26A6E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,</w:t>
      </w:r>
      <w:r w:rsidR="00F01CBA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por lo que 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está prohibida </w:t>
      </w:r>
      <w:r w:rsidR="00F01CBA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la 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circulación </w:t>
      </w:r>
      <w:r w:rsidR="00F01CBA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para vehículos nacionales 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en el territorio nacional</w:t>
      </w:r>
      <w:r w:rsidR="00F01CBA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sin embargo los vehículos con placas extranjeras pueden circular previa autorización con permiso especial para el Transporte de carga y dimensiones mayores a las permitidas emitida por el Viceministerio de Transporte. </w:t>
      </w:r>
    </w:p>
    <w:p w14:paraId="22512E9C" w14:textId="77777777" w:rsidR="00C66DBF" w:rsidRPr="00C66DBF" w:rsidRDefault="00C66DBF" w:rsidP="00C66DBF">
      <w:pPr>
        <w:pStyle w:val="Prrafodelista"/>
        <w:rPr>
          <w:rFonts w:ascii="Museo Sans 100" w:eastAsia="Museo Sans 100" w:hAnsi="Museo Sans 100" w:cs="Museo Sans 100"/>
          <w:sz w:val="23"/>
          <w:szCs w:val="23"/>
          <w:lang w:val="es-SV"/>
        </w:rPr>
      </w:pPr>
    </w:p>
    <w:p w14:paraId="07BD25DC" w14:textId="511AD397" w:rsidR="00671740" w:rsidRPr="00C66DBF" w:rsidRDefault="00953508" w:rsidP="00C66DBF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5"/>
        <w:ind w:right="486"/>
        <w:jc w:val="both"/>
        <w:rPr>
          <w:rFonts w:ascii="Museo Sans 100" w:eastAsia="Museo Sans 100" w:hAnsi="Museo Sans 100" w:cs="Museo Sans 100"/>
          <w:sz w:val="23"/>
          <w:szCs w:val="23"/>
          <w:lang w:val="es-SV"/>
        </w:rPr>
      </w:pP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Es responsabilidad del transportista y del propietario de la carga, el cumplimiento del peso y dimensiones establecidas en la Ley de Transporte de Carga por Carretera, de igual manera se previene que el peso de las mercancías consignadas en la Declaración Única </w:t>
      </w:r>
      <w:r w:rsidR="004E2A60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Centroamericana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(DU</w:t>
      </w:r>
      <w:r w:rsidR="004E2A60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CA 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T), debe corresponder al peso real de las mismas, siendo que las diferencias entre los pesos Declarados y lo 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lastRenderedPageBreak/>
        <w:t>realmente transportado podrá ser objeto de sanción administrativa o tributaria</w:t>
      </w:r>
      <w:r w:rsidR="004E2A60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según corresponda </w:t>
      </w:r>
      <w:r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por parte de la Autoridad Aduanera. </w:t>
      </w:r>
      <w:r w:rsidR="006006C3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>´</w:t>
      </w:r>
      <w:r w:rsidR="00671740" w:rsidRPr="00C66DBF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</w:t>
      </w:r>
    </w:p>
    <w:p w14:paraId="5BE0A93C" w14:textId="30106AB0" w:rsidR="00DC67CB" w:rsidRDefault="00D90EBE" w:rsidP="00D90EBE">
      <w:pPr>
        <w:shd w:val="clear" w:color="auto" w:fill="FFFFFF"/>
        <w:jc w:val="both"/>
        <w:rPr>
          <w:rFonts w:ascii="Museo Sans 100" w:eastAsia="Museo Sans 100" w:hAnsi="Museo Sans 100" w:cs="Museo Sans 100"/>
          <w:color w:val="FF0000"/>
          <w:sz w:val="23"/>
          <w:szCs w:val="23"/>
          <w:u w:val="single"/>
        </w:rPr>
      </w:pPr>
      <w:r w:rsidRPr="00D90EBE">
        <w:rPr>
          <w:rFonts w:ascii="Museo Sans 100" w:eastAsia="Museo Sans 100" w:hAnsi="Museo Sans 100" w:cs="Museo Sans 100"/>
          <w:sz w:val="23"/>
          <w:szCs w:val="23"/>
          <w:lang w:val="es-SV"/>
        </w:rPr>
        <w:t>P</w:t>
      </w:r>
      <w:r w:rsidR="006006C3" w:rsidRPr="00D90EBE">
        <w:rPr>
          <w:rFonts w:ascii="Museo Sans 100" w:eastAsia="Museo Sans 100" w:hAnsi="Museo Sans 100" w:cs="Museo Sans 100"/>
          <w:sz w:val="23"/>
          <w:szCs w:val="23"/>
          <w:lang w:val="es-SV"/>
        </w:rPr>
        <w:t>ara los usuarios que necesiten ampliar información o aclarar dudas para realizar sus trámites o permisos es el</w:t>
      </w:r>
      <w:r w:rsidRPr="00D90EBE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número</w:t>
      </w:r>
      <w:r w:rsidR="006006C3" w:rsidRPr="00D90EBE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2133-3600 y correo electrónico</w:t>
      </w:r>
      <w:r w:rsidR="006006C3">
        <w:rPr>
          <w:rFonts w:ascii="Museo Sans 100" w:eastAsia="Museo Sans 100" w:hAnsi="Museo Sans 100" w:cs="Museo Sans 100"/>
          <w:sz w:val="23"/>
          <w:szCs w:val="23"/>
        </w:rPr>
        <w:t xml:space="preserve"> </w:t>
      </w:r>
      <w:hyperlink r:id="rId11" w:history="1">
        <w:r w:rsidR="006006C3" w:rsidRPr="00755659">
          <w:rPr>
            <w:rStyle w:val="Hipervnculo"/>
            <w:rFonts w:ascii="Museo Sans 100" w:eastAsia="Museo Sans 100" w:hAnsi="Museo Sans 100" w:cs="Museo Sans 100"/>
            <w:sz w:val="23"/>
            <w:szCs w:val="23"/>
          </w:rPr>
          <w:t>vmtdigital@mop.gob.sv</w:t>
        </w:r>
      </w:hyperlink>
      <w:r w:rsidR="001B7F3B" w:rsidRPr="001B7F3B">
        <w:rPr>
          <w:rStyle w:val="Hipervnculo"/>
          <w:rFonts w:ascii="Museo Sans 100" w:eastAsia="Museo Sans 100" w:hAnsi="Museo Sans 100" w:cs="Museo Sans 100"/>
          <w:sz w:val="23"/>
          <w:szCs w:val="23"/>
          <w:u w:val="none"/>
        </w:rPr>
        <w:t xml:space="preserve"> </w:t>
      </w:r>
      <w:r w:rsidR="00C26A6E" w:rsidRPr="00DC67CB">
        <w:rPr>
          <w:rFonts w:ascii="Museo Sans 100" w:eastAsia="Museo Sans 100" w:hAnsi="Museo Sans 100" w:cs="Museo Sans 100"/>
          <w:sz w:val="23"/>
          <w:szCs w:val="23"/>
        </w:rPr>
        <w:t>ó al portal web</w:t>
      </w:r>
      <w:r w:rsidR="00C26A6E" w:rsidRPr="00AF5EA3">
        <w:rPr>
          <w:rStyle w:val="Hipervnculo"/>
          <w:rFonts w:ascii="Museo Sans 100" w:eastAsia="Museo Sans 100" w:hAnsi="Museo Sans 100" w:cs="Museo Sans 100"/>
          <w:color w:val="FF0000"/>
          <w:sz w:val="23"/>
          <w:szCs w:val="23"/>
          <w:u w:val="none"/>
        </w:rPr>
        <w:t xml:space="preserve"> </w:t>
      </w:r>
      <w:hyperlink r:id="rId12" w:history="1">
        <w:r w:rsidR="00D65298" w:rsidRPr="00234FAD">
          <w:rPr>
            <w:rStyle w:val="Hipervnculo"/>
            <w:rFonts w:ascii="Museo Sans 100" w:eastAsia="Museo Sans 100" w:hAnsi="Museo Sans 100" w:cs="Museo Sans 100"/>
            <w:sz w:val="23"/>
            <w:szCs w:val="23"/>
          </w:rPr>
          <w:t>https://www.vmt.gob.sv</w:t>
        </w:r>
      </w:hyperlink>
      <w:r w:rsidR="00D65298">
        <w:rPr>
          <w:rFonts w:ascii="Museo Sans 100" w:eastAsia="Museo Sans 100" w:hAnsi="Museo Sans 100" w:cs="Museo Sans 100"/>
          <w:color w:val="FF0000"/>
          <w:sz w:val="23"/>
          <w:szCs w:val="23"/>
          <w:u w:val="single"/>
        </w:rPr>
        <w:t>.</w:t>
      </w:r>
      <w:r w:rsidR="00236B82">
        <w:rPr>
          <w:rFonts w:ascii="Museo Sans 100" w:eastAsia="Museo Sans 100" w:hAnsi="Museo Sans 100" w:cs="Museo Sans 100"/>
          <w:color w:val="FF0000"/>
          <w:sz w:val="23"/>
          <w:szCs w:val="23"/>
          <w:u w:val="single"/>
        </w:rPr>
        <w:t xml:space="preserve"> </w:t>
      </w:r>
    </w:p>
    <w:p w14:paraId="537D5175" w14:textId="77777777" w:rsidR="00DC67CB" w:rsidRDefault="00DC67CB" w:rsidP="00DC67CB">
      <w:pPr>
        <w:shd w:val="clear" w:color="auto" w:fill="FFFFFF"/>
        <w:jc w:val="both"/>
        <w:rPr>
          <w:rFonts w:ascii="Museo Sans 100" w:eastAsia="Museo Sans 100" w:hAnsi="Museo Sans 100" w:cs="Museo Sans 100"/>
          <w:sz w:val="23"/>
          <w:szCs w:val="23"/>
        </w:rPr>
      </w:pPr>
    </w:p>
    <w:p w14:paraId="3FD28107" w14:textId="582A427C" w:rsidR="006006C3" w:rsidRPr="00DC67CB" w:rsidRDefault="00D90EBE" w:rsidP="00DC67CB">
      <w:pPr>
        <w:shd w:val="clear" w:color="auto" w:fill="FFFFFF"/>
        <w:jc w:val="both"/>
        <w:rPr>
          <w:rFonts w:ascii="Museo Sans 100" w:eastAsia="Museo Sans 100" w:hAnsi="Museo Sans 100" w:cs="Museo Sans 100"/>
          <w:sz w:val="23"/>
          <w:szCs w:val="23"/>
        </w:rPr>
      </w:pPr>
      <w:r>
        <w:rPr>
          <w:rFonts w:ascii="Museo Sans 100" w:eastAsia="Museo Sans 100" w:hAnsi="Museo Sans 100" w:cs="Museo Sans 100"/>
          <w:sz w:val="23"/>
          <w:szCs w:val="23"/>
          <w:lang w:val="es-SV"/>
        </w:rPr>
        <w:t>Respecto al trámite de</w:t>
      </w:r>
      <w:r w:rsidR="00236B82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permiso</w:t>
      </w:r>
      <w:r w:rsidR="00DC67CB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especial</w:t>
      </w:r>
      <w:r w:rsidR="00236B82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debe</w:t>
      </w:r>
      <w:r>
        <w:rPr>
          <w:rFonts w:ascii="Museo Sans 100" w:eastAsia="Museo Sans 100" w:hAnsi="Museo Sans 100" w:cs="Museo Sans 100"/>
          <w:sz w:val="23"/>
          <w:szCs w:val="23"/>
          <w:lang w:val="es-SV"/>
        </w:rPr>
        <w:t>rá</w:t>
      </w:r>
      <w:r w:rsidR="00236B82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gestiona</w:t>
      </w:r>
      <w:r>
        <w:rPr>
          <w:rFonts w:ascii="Museo Sans 100" w:eastAsia="Museo Sans 100" w:hAnsi="Museo Sans 100" w:cs="Museo Sans 100"/>
          <w:sz w:val="23"/>
          <w:szCs w:val="23"/>
          <w:lang w:val="es-SV"/>
        </w:rPr>
        <w:t>rse</w:t>
      </w:r>
      <w:r w:rsidR="00DC67CB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con anticipación </w:t>
      </w:r>
      <w:r w:rsid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y pueden </w:t>
      </w:r>
      <w:r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ser </w:t>
      </w:r>
      <w:r w:rsidR="00DC67CB">
        <w:rPr>
          <w:rFonts w:ascii="Museo Sans 100" w:eastAsia="Museo Sans 100" w:hAnsi="Museo Sans 100" w:cs="Museo Sans 100"/>
          <w:sz w:val="23"/>
          <w:szCs w:val="23"/>
          <w:lang w:val="es-SV"/>
        </w:rPr>
        <w:t>solicita</w:t>
      </w:r>
      <w:r>
        <w:rPr>
          <w:rFonts w:ascii="Museo Sans 100" w:eastAsia="Museo Sans 100" w:hAnsi="Museo Sans 100" w:cs="Museo Sans 100"/>
          <w:sz w:val="23"/>
          <w:szCs w:val="23"/>
          <w:lang w:val="es-SV"/>
        </w:rPr>
        <w:t>dos</w:t>
      </w:r>
      <w:r w:rsid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en el </w:t>
      </w:r>
      <w:r w:rsidR="00B72A84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 xml:space="preserve"> </w:t>
      </w:r>
      <w:proofErr w:type="spellStart"/>
      <w:r w:rsidR="00B72A84" w:rsidRPr="00DC67CB">
        <w:rPr>
          <w:rFonts w:ascii="Museo Sans 100" w:eastAsia="Museo Sans 100" w:hAnsi="Museo Sans 100" w:cs="Museo Sans 100"/>
          <w:sz w:val="23"/>
          <w:szCs w:val="23"/>
          <w:lang w:val="es-SV"/>
        </w:rPr>
        <w:t>siti</w:t>
      </w:r>
      <w:proofErr w:type="spellEnd"/>
      <w:r w:rsidR="00B72A84" w:rsidRPr="00DC67CB">
        <w:rPr>
          <w:rFonts w:ascii="Museo Sans 100" w:eastAsia="Museo Sans 100" w:hAnsi="Museo Sans 100" w:cs="Museo Sans 100"/>
          <w:sz w:val="23"/>
          <w:szCs w:val="23"/>
        </w:rPr>
        <w:t>o web</w:t>
      </w:r>
      <w:r w:rsidR="00B72A84" w:rsidRPr="00AF5EA3">
        <w:rPr>
          <w:rFonts w:ascii="Museo Sans 100" w:eastAsia="Museo Sans 100" w:hAnsi="Museo Sans 100" w:cs="Museo Sans 100"/>
          <w:color w:val="FF0000"/>
          <w:sz w:val="23"/>
          <w:szCs w:val="23"/>
        </w:rPr>
        <w:t xml:space="preserve"> </w:t>
      </w:r>
      <w:hyperlink r:id="rId13" w:history="1">
        <w:r w:rsidR="00D65298" w:rsidRPr="00234FAD">
          <w:rPr>
            <w:rStyle w:val="Hipervnculo"/>
            <w:rFonts w:ascii="Museo Sans 100" w:eastAsia="Museo Sans 100" w:hAnsi="Museo Sans 100" w:cs="Museo Sans 100"/>
            <w:sz w:val="23"/>
            <w:szCs w:val="23"/>
          </w:rPr>
          <w:t>https://vmt.ventanilla.simple.sv</w:t>
        </w:r>
      </w:hyperlink>
      <w:r w:rsidR="00D65298">
        <w:rPr>
          <w:rFonts w:ascii="Museo Sans 100" w:eastAsia="Museo Sans 100" w:hAnsi="Museo Sans 100" w:cs="Museo Sans 100"/>
          <w:color w:val="FF0000"/>
          <w:sz w:val="23"/>
          <w:szCs w:val="23"/>
          <w:u w:val="single"/>
        </w:rPr>
        <w:t xml:space="preserve"> </w:t>
      </w:r>
    </w:p>
    <w:p w14:paraId="6DB1BAC1" w14:textId="77777777" w:rsidR="00D90EBE" w:rsidRDefault="00D90EBE" w:rsidP="00D90EBE">
      <w:pPr>
        <w:autoSpaceDE w:val="0"/>
        <w:autoSpaceDN w:val="0"/>
        <w:adjustRightInd w:val="0"/>
        <w:jc w:val="both"/>
        <w:rPr>
          <w:rFonts w:ascii="Museo Sans 100" w:hAnsi="Museo Sans 100" w:cs="Tahoma"/>
          <w:color w:val="000000"/>
          <w:sz w:val="22"/>
          <w:szCs w:val="22"/>
          <w:lang w:val="es-ES"/>
        </w:rPr>
      </w:pPr>
    </w:p>
    <w:p w14:paraId="1DC18C15" w14:textId="76A52F2B" w:rsidR="00E54044" w:rsidRDefault="00D90EBE" w:rsidP="00D90EBE">
      <w:pPr>
        <w:autoSpaceDE w:val="0"/>
        <w:autoSpaceDN w:val="0"/>
        <w:adjustRightInd w:val="0"/>
        <w:jc w:val="both"/>
        <w:rPr>
          <w:rFonts w:ascii="Museo Sans 100" w:hAnsi="Museo Sans 100" w:cs="Tahoma"/>
          <w:color w:val="000000"/>
          <w:sz w:val="22"/>
          <w:szCs w:val="22"/>
          <w:lang w:val="es-ES"/>
        </w:rPr>
      </w:pPr>
      <w:r>
        <w:rPr>
          <w:rFonts w:ascii="Museo Sans 100" w:hAnsi="Museo Sans 100" w:cs="Tahoma"/>
          <w:color w:val="000000"/>
          <w:sz w:val="22"/>
          <w:szCs w:val="22"/>
          <w:lang w:val="es-ES"/>
        </w:rPr>
        <w:t xml:space="preserve">El presente Boletín deja sin efecto el Boletín Informativo No. DGA 005-2008 de fecha 4 </w:t>
      </w:r>
      <w:r w:rsidRPr="00F2315A">
        <w:rPr>
          <w:rFonts w:ascii="Museo Sans 100" w:hAnsi="Museo Sans 100" w:cs="Tahoma"/>
          <w:color w:val="000000"/>
          <w:sz w:val="22"/>
          <w:szCs w:val="22"/>
          <w:lang w:val="es-ES"/>
        </w:rPr>
        <w:t xml:space="preserve">de </w:t>
      </w:r>
      <w:r>
        <w:rPr>
          <w:rFonts w:ascii="Museo Sans 100" w:hAnsi="Museo Sans 100" w:cs="Tahoma"/>
          <w:color w:val="000000"/>
          <w:sz w:val="22"/>
          <w:szCs w:val="22"/>
          <w:lang w:val="es-ES"/>
        </w:rPr>
        <w:t xml:space="preserve">marzo </w:t>
      </w:r>
      <w:r w:rsidRPr="00F2315A">
        <w:rPr>
          <w:rFonts w:ascii="Museo Sans 100" w:hAnsi="Museo Sans 100" w:cs="Tahoma"/>
          <w:color w:val="000000"/>
          <w:sz w:val="22"/>
          <w:szCs w:val="22"/>
          <w:lang w:val="es-ES"/>
        </w:rPr>
        <w:t>de 20</w:t>
      </w:r>
      <w:r>
        <w:rPr>
          <w:rFonts w:ascii="Museo Sans 100" w:hAnsi="Museo Sans 100" w:cs="Tahoma"/>
          <w:color w:val="000000"/>
          <w:sz w:val="22"/>
          <w:szCs w:val="22"/>
          <w:lang w:val="es-ES"/>
        </w:rPr>
        <w:t xml:space="preserve">08. </w:t>
      </w:r>
    </w:p>
    <w:p w14:paraId="3A0F8C77" w14:textId="77777777" w:rsidR="00D90EBE" w:rsidRPr="00D90EBE" w:rsidRDefault="00D90EBE" w:rsidP="00D90EBE">
      <w:pPr>
        <w:autoSpaceDE w:val="0"/>
        <w:autoSpaceDN w:val="0"/>
        <w:adjustRightInd w:val="0"/>
        <w:jc w:val="both"/>
        <w:rPr>
          <w:rFonts w:ascii="Museo Sans 100" w:hAnsi="Museo Sans 100" w:cs="Tahoma"/>
          <w:color w:val="000000"/>
          <w:sz w:val="22"/>
          <w:szCs w:val="22"/>
          <w:lang w:val="es-ES"/>
        </w:rPr>
      </w:pPr>
    </w:p>
    <w:p w14:paraId="0991AE44" w14:textId="4F9DF669" w:rsidR="00D90EBE" w:rsidRDefault="00D90EBE" w:rsidP="00D90EBE">
      <w:pPr>
        <w:jc w:val="both"/>
        <w:rPr>
          <w:rFonts w:ascii="Museo Sans 100" w:hAnsi="Museo Sans 100"/>
          <w:color w:val="000000" w:themeColor="text1"/>
          <w:sz w:val="22"/>
          <w:szCs w:val="22"/>
          <w:lang w:val="es-SV"/>
        </w:rPr>
      </w:pPr>
      <w:r w:rsidRPr="00B90BFD">
        <w:rPr>
          <w:rFonts w:ascii="Museo Sans 100" w:eastAsia="Museo Sans 100" w:hAnsi="Museo Sans 100" w:cs="Museo Sans 100"/>
          <w:sz w:val="22"/>
          <w:szCs w:val="22"/>
          <w:lang w:val="es-SV"/>
        </w:rPr>
        <w:t>Para mayor información</w:t>
      </w:r>
      <w:r>
        <w:rPr>
          <w:rFonts w:ascii="Museo Sans 100" w:eastAsia="Museo Sans 100" w:hAnsi="Museo Sans 100" w:cs="Museo Sans 100"/>
          <w:sz w:val="22"/>
          <w:szCs w:val="22"/>
          <w:lang w:val="es-SV"/>
        </w:rPr>
        <w:t xml:space="preserve"> de comercio internacional</w:t>
      </w:r>
      <w:r w:rsidRPr="00B90BFD">
        <w:rPr>
          <w:rFonts w:ascii="Museo Sans 100" w:eastAsia="Museo Sans 100" w:hAnsi="Museo Sans 100" w:cs="Museo Sans 100"/>
          <w:sz w:val="22"/>
          <w:szCs w:val="22"/>
          <w:lang w:val="es-SV"/>
        </w:rPr>
        <w:t xml:space="preserve"> visite nuestro sitio Web </w:t>
      </w:r>
      <w:hyperlink r:id="rId14" w:history="1">
        <w:r w:rsidRPr="00D63CA5">
          <w:rPr>
            <w:rStyle w:val="Hipervnculo"/>
            <w:rFonts w:ascii="Museo Sans 100" w:eastAsia="Museo Sans 100" w:hAnsi="Museo Sans 100" w:cs="Museo Sans 100"/>
            <w:sz w:val="22"/>
            <w:szCs w:val="22"/>
            <w:lang w:val="es-SV"/>
          </w:rPr>
          <w:t>https://sitio.aduana.gob.sv/</w:t>
        </w:r>
      </w:hyperlink>
      <w:r w:rsidRPr="00B90BFD">
        <w:rPr>
          <w:rFonts w:ascii="Museo Sans 100" w:eastAsia="Museo Sans 100" w:hAnsi="Museo Sans 100" w:cs="Museo Sans 100"/>
          <w:sz w:val="22"/>
          <w:szCs w:val="22"/>
          <w:lang w:val="es-SV"/>
        </w:rPr>
        <w:t xml:space="preserve">, o comuníquese al Departamento de Atención al Usuario a través del </w:t>
      </w:r>
      <w:proofErr w:type="spellStart"/>
      <w:r w:rsidRPr="00B90BFD">
        <w:rPr>
          <w:rFonts w:ascii="Museo Sans 100" w:eastAsia="Museo Sans 100" w:hAnsi="Museo Sans 100" w:cs="Museo Sans 100"/>
          <w:sz w:val="22"/>
          <w:szCs w:val="22"/>
          <w:lang w:val="es-SV"/>
        </w:rPr>
        <w:t>Call</w:t>
      </w:r>
      <w:proofErr w:type="spellEnd"/>
      <w:r w:rsidRPr="00B90BFD">
        <w:rPr>
          <w:rFonts w:ascii="Museo Sans 100" w:eastAsia="Museo Sans 100" w:hAnsi="Museo Sans 100" w:cs="Museo Sans 100"/>
          <w:sz w:val="22"/>
          <w:szCs w:val="22"/>
          <w:lang w:val="es-SV"/>
        </w:rPr>
        <w:t xml:space="preserve"> Center: 2244-5182 y 2237-5182, WhatsApp: 7073-8768, correo electrónico usuario@aduana.gob.sv, o nuestras redes sociales oficiales.</w:t>
      </w:r>
    </w:p>
    <w:p w14:paraId="7FB1DA99" w14:textId="77777777" w:rsidR="00E54044" w:rsidRPr="00CC45D4" w:rsidRDefault="00E54044" w:rsidP="00E54044">
      <w:pPr>
        <w:jc w:val="both"/>
        <w:rPr>
          <w:rFonts w:ascii="Museo Sans 100" w:eastAsia="Museo Sans 100" w:hAnsi="Museo Sans 100" w:cs="Museo Sans 100"/>
          <w:sz w:val="23"/>
          <w:szCs w:val="23"/>
          <w:lang w:val="es-SV"/>
        </w:rPr>
      </w:pPr>
    </w:p>
    <w:p w14:paraId="651C16CA" w14:textId="77777777" w:rsidR="00E54044" w:rsidRPr="00C62D6F" w:rsidRDefault="00E54044" w:rsidP="00E54044">
      <w:pPr>
        <w:keepNext/>
        <w:tabs>
          <w:tab w:val="left" w:pos="708"/>
          <w:tab w:val="left" w:pos="4536"/>
        </w:tabs>
        <w:spacing w:line="278" w:lineRule="auto"/>
        <w:jc w:val="both"/>
        <w:rPr>
          <w:rFonts w:ascii="Museo Sans 100" w:eastAsia="Arial" w:hAnsi="Museo Sans 100" w:cs="Arial"/>
          <w:sz w:val="22"/>
          <w:szCs w:val="22"/>
          <w:lang w:val="es-SV" w:eastAsia="es-SV"/>
        </w:rPr>
      </w:pPr>
    </w:p>
    <w:p w14:paraId="771CE7DF" w14:textId="2E998E73" w:rsidR="0034168B" w:rsidRDefault="0034168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53FA930A" w14:textId="4EE7C87D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2D0345CB" w14:textId="7199432D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1FB30BA9" w14:textId="77777777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3404B0C0" w14:textId="28266D91" w:rsidR="00E54044" w:rsidRDefault="00E54044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  <w:r w:rsidRPr="00C62D6F"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 xml:space="preserve">San Bartolo, Distrito de Ilopango, San Salvador Este, </w:t>
      </w:r>
      <w:r w:rsidR="00B72A84"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>2</w:t>
      </w:r>
      <w:r w:rsidR="00DC67CB"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>9</w:t>
      </w:r>
      <w:r w:rsidRPr="00C62D6F"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 xml:space="preserve"> de o</w:t>
      </w:r>
      <w:r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>ctubre</w:t>
      </w:r>
      <w:r w:rsidRPr="00C62D6F"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 xml:space="preserve"> de </w:t>
      </w:r>
      <w:sdt>
        <w:sdtPr>
          <w:rPr>
            <w:rFonts w:ascii="Museo Sans 100" w:eastAsia="Arial" w:hAnsi="Museo Sans 100" w:cs="Arial"/>
            <w:color w:val="auto"/>
            <w:sz w:val="22"/>
            <w:szCs w:val="22"/>
            <w:lang w:eastAsia="es-SV"/>
          </w:rPr>
          <w:tag w:val="goog_rdk_114"/>
          <w:id w:val="1984039476"/>
        </w:sdtPr>
        <w:sdtEndPr/>
        <w:sdtContent/>
      </w:sdt>
      <w:r w:rsidRPr="00C62D6F">
        <w:rPr>
          <w:rFonts w:ascii="Museo Sans 100" w:eastAsia="Arial" w:hAnsi="Museo Sans 100" w:cs="Arial"/>
          <w:color w:val="auto"/>
          <w:sz w:val="22"/>
          <w:szCs w:val="22"/>
          <w:lang w:eastAsia="es-SV"/>
        </w:rPr>
        <w:t>202</w:t>
      </w:r>
      <w:sdt>
        <w:sdtPr>
          <w:rPr>
            <w:rFonts w:ascii="Museo Sans 100" w:eastAsia="Arial" w:hAnsi="Museo Sans 100" w:cs="Arial"/>
            <w:color w:val="auto"/>
            <w:sz w:val="22"/>
            <w:szCs w:val="22"/>
            <w:lang w:eastAsia="es-SV"/>
          </w:rPr>
          <w:tag w:val="goog_rdk_115"/>
          <w:id w:val="-1111045526"/>
        </w:sdtPr>
        <w:sdtEndPr/>
        <w:sdtContent>
          <w:r w:rsidRPr="00C62D6F">
            <w:rPr>
              <w:rFonts w:ascii="Museo Sans 100" w:eastAsia="Arial" w:hAnsi="Museo Sans 100" w:cs="Arial"/>
              <w:color w:val="auto"/>
              <w:sz w:val="22"/>
              <w:szCs w:val="22"/>
              <w:lang w:eastAsia="es-SV"/>
            </w:rPr>
            <w:t>5</w:t>
          </w:r>
        </w:sdtContent>
      </w:sdt>
    </w:p>
    <w:p w14:paraId="6441E9B5" w14:textId="4FAFA63C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208931B4" w14:textId="4A447B11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40320940" w14:textId="5A99C06E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5778102E" w14:textId="341194D8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2187FE09" w14:textId="79295165" w:rsidR="00DC67CB" w:rsidRDefault="00DC67CB" w:rsidP="00E54044">
      <w:pPr>
        <w:pStyle w:val="Cuerpo"/>
        <w:spacing w:before="0" w:line="276" w:lineRule="auto"/>
        <w:jc w:val="right"/>
        <w:rPr>
          <w:rFonts w:ascii="Museo Sans 100" w:eastAsia="Arial" w:hAnsi="Museo Sans 100" w:cs="Arial"/>
          <w:color w:val="auto"/>
          <w:sz w:val="22"/>
          <w:szCs w:val="22"/>
          <w:lang w:eastAsia="es-SV"/>
        </w:rPr>
      </w:pPr>
    </w:p>
    <w:p w14:paraId="6940D7E2" w14:textId="77777777" w:rsidR="00DC67CB" w:rsidRDefault="00DC67CB" w:rsidP="00DC67CB">
      <w:pPr>
        <w:pStyle w:val="Cuerpo"/>
        <w:spacing w:before="0" w:line="276" w:lineRule="auto"/>
        <w:rPr>
          <w:rFonts w:ascii="Museo Sans 100" w:eastAsia="Arial" w:hAnsi="Museo Sans 100" w:cs="Arial"/>
          <w:color w:val="auto"/>
          <w:sz w:val="16"/>
          <w:szCs w:val="16"/>
          <w:lang w:eastAsia="es-SV"/>
        </w:rPr>
      </w:pPr>
    </w:p>
    <w:p w14:paraId="57B1E54E" w14:textId="77777777" w:rsidR="00DC67CB" w:rsidRDefault="00DC67CB" w:rsidP="00DC67CB">
      <w:pPr>
        <w:pStyle w:val="Cuerpo"/>
        <w:spacing w:before="0" w:line="276" w:lineRule="auto"/>
        <w:rPr>
          <w:rFonts w:ascii="Museo Sans 100" w:eastAsia="Arial" w:hAnsi="Museo Sans 100" w:cs="Arial"/>
          <w:color w:val="auto"/>
          <w:sz w:val="16"/>
          <w:szCs w:val="16"/>
          <w:lang w:eastAsia="es-SV"/>
        </w:rPr>
      </w:pPr>
    </w:p>
    <w:p w14:paraId="25C6E189" w14:textId="77777777" w:rsidR="00DC67CB" w:rsidRDefault="00DC67CB" w:rsidP="00DC67CB">
      <w:pPr>
        <w:pStyle w:val="Cuerpo"/>
        <w:spacing w:before="0" w:line="276" w:lineRule="auto"/>
        <w:rPr>
          <w:rFonts w:ascii="Museo Sans 100" w:eastAsia="Arial" w:hAnsi="Museo Sans 100" w:cs="Arial"/>
          <w:color w:val="auto"/>
          <w:sz w:val="16"/>
          <w:szCs w:val="16"/>
          <w:lang w:eastAsia="es-SV"/>
        </w:rPr>
      </w:pPr>
    </w:p>
    <w:p w14:paraId="41247D63" w14:textId="5EB6CC42" w:rsidR="00DC67CB" w:rsidRPr="00DC67CB" w:rsidRDefault="00DC67CB" w:rsidP="00DC67CB">
      <w:pPr>
        <w:pStyle w:val="Cuerpo"/>
        <w:spacing w:before="0" w:line="276" w:lineRule="auto"/>
        <w:rPr>
          <w:rFonts w:ascii="Museo Sans 100" w:eastAsia="Arial" w:hAnsi="Museo Sans 100" w:cs="Arial"/>
          <w:color w:val="auto"/>
          <w:sz w:val="16"/>
          <w:szCs w:val="16"/>
          <w:lang w:eastAsia="es-SV"/>
        </w:rPr>
      </w:pPr>
      <w:r w:rsidRPr="00DC67CB">
        <w:rPr>
          <w:rFonts w:ascii="Museo Sans 100" w:eastAsia="Arial" w:hAnsi="Museo Sans 100" w:cs="Arial"/>
          <w:color w:val="auto"/>
          <w:sz w:val="16"/>
          <w:szCs w:val="16"/>
          <w:lang w:eastAsia="es-SV"/>
        </w:rPr>
        <w:t>SFAC/SDOSF</w:t>
      </w:r>
    </w:p>
    <w:sectPr w:rsidR="00DC67CB" w:rsidRPr="00DC67CB" w:rsidSect="00F90E6C">
      <w:headerReference w:type="default" r:id="rId15"/>
      <w:footerReference w:type="default" r:id="rId16"/>
      <w:pgSz w:w="12240" w:h="15840"/>
      <w:pgMar w:top="2999" w:right="1440" w:bottom="1440" w:left="1418" w:header="2262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316B3" w14:textId="77777777" w:rsidR="0016433C" w:rsidRDefault="0016433C">
      <w:r>
        <w:separator/>
      </w:r>
    </w:p>
  </w:endnote>
  <w:endnote w:type="continuationSeparator" w:id="0">
    <w:p w14:paraId="6DEA8EF0" w14:textId="77777777" w:rsidR="0016433C" w:rsidRDefault="001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57F4" w14:textId="580C52BF" w:rsidR="000B5C24" w:rsidRDefault="000B5C24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14:paraId="3DB3DB5F" w14:textId="5786AE71" w:rsidR="000B5C24" w:rsidRPr="00AC60F3" w:rsidRDefault="00B64C96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B64C96">
      <w:rPr>
        <w:rFonts w:ascii="Bembo Std" w:hAnsi="Bembo Std"/>
        <w:bCs/>
        <w:noProof/>
        <w:sz w:val="16"/>
        <w:szCs w:val="16"/>
        <w:lang w:val="es-SV" w:eastAsia="es-SV"/>
      </w:rPr>
      <w:drawing>
        <wp:inline distT="0" distB="0" distL="0" distR="0" wp14:anchorId="64DF1BCF" wp14:editId="5FF4DF45">
          <wp:extent cx="5957570" cy="72517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757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5C24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14:paraId="391485F2" w14:textId="51478AC5" w:rsidR="000B5C24" w:rsidRPr="0025672B" w:rsidRDefault="000B5C24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18AAB" w14:textId="77777777" w:rsidR="0016433C" w:rsidRDefault="0016433C">
      <w:r>
        <w:separator/>
      </w:r>
    </w:p>
  </w:footnote>
  <w:footnote w:type="continuationSeparator" w:id="0">
    <w:p w14:paraId="179D12BC" w14:textId="77777777" w:rsidR="0016433C" w:rsidRDefault="0016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857B" w14:textId="77777777" w:rsidR="000B5C24" w:rsidRDefault="000B5C24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margin">
            <wp:posOffset>-909320</wp:posOffset>
          </wp:positionH>
          <wp:positionV relativeFrom="margin">
            <wp:posOffset>-1784350</wp:posOffset>
          </wp:positionV>
          <wp:extent cx="7762240" cy="1634490"/>
          <wp:effectExtent l="0" t="0" r="0" b="381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63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7E0"/>
    <w:multiLevelType w:val="multilevel"/>
    <w:tmpl w:val="56BE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84D21"/>
    <w:multiLevelType w:val="hybridMultilevel"/>
    <w:tmpl w:val="3BC2D550"/>
    <w:lvl w:ilvl="0" w:tplc="B25AA610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01" w:hanging="360"/>
      </w:pPr>
    </w:lvl>
    <w:lvl w:ilvl="2" w:tplc="440A001B" w:tentative="1">
      <w:start w:val="1"/>
      <w:numFmt w:val="lowerRoman"/>
      <w:lvlText w:val="%3."/>
      <w:lvlJc w:val="right"/>
      <w:pPr>
        <w:ind w:left="1821" w:hanging="180"/>
      </w:pPr>
    </w:lvl>
    <w:lvl w:ilvl="3" w:tplc="440A000F" w:tentative="1">
      <w:start w:val="1"/>
      <w:numFmt w:val="decimal"/>
      <w:lvlText w:val="%4."/>
      <w:lvlJc w:val="left"/>
      <w:pPr>
        <w:ind w:left="2541" w:hanging="360"/>
      </w:pPr>
    </w:lvl>
    <w:lvl w:ilvl="4" w:tplc="440A0019" w:tentative="1">
      <w:start w:val="1"/>
      <w:numFmt w:val="lowerLetter"/>
      <w:lvlText w:val="%5."/>
      <w:lvlJc w:val="left"/>
      <w:pPr>
        <w:ind w:left="3261" w:hanging="360"/>
      </w:pPr>
    </w:lvl>
    <w:lvl w:ilvl="5" w:tplc="440A001B" w:tentative="1">
      <w:start w:val="1"/>
      <w:numFmt w:val="lowerRoman"/>
      <w:lvlText w:val="%6."/>
      <w:lvlJc w:val="right"/>
      <w:pPr>
        <w:ind w:left="3981" w:hanging="180"/>
      </w:pPr>
    </w:lvl>
    <w:lvl w:ilvl="6" w:tplc="440A000F" w:tentative="1">
      <w:start w:val="1"/>
      <w:numFmt w:val="decimal"/>
      <w:lvlText w:val="%7."/>
      <w:lvlJc w:val="left"/>
      <w:pPr>
        <w:ind w:left="4701" w:hanging="360"/>
      </w:pPr>
    </w:lvl>
    <w:lvl w:ilvl="7" w:tplc="440A0019" w:tentative="1">
      <w:start w:val="1"/>
      <w:numFmt w:val="lowerLetter"/>
      <w:lvlText w:val="%8."/>
      <w:lvlJc w:val="left"/>
      <w:pPr>
        <w:ind w:left="5421" w:hanging="360"/>
      </w:pPr>
    </w:lvl>
    <w:lvl w:ilvl="8" w:tplc="440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542305FA"/>
    <w:multiLevelType w:val="multilevel"/>
    <w:tmpl w:val="CAF0D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E0E22"/>
    <w:multiLevelType w:val="multilevel"/>
    <w:tmpl w:val="DB2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616A5"/>
    <w:multiLevelType w:val="multilevel"/>
    <w:tmpl w:val="B8BA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13641"/>
    <w:multiLevelType w:val="multilevel"/>
    <w:tmpl w:val="3A901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15225"/>
    <w:rsid w:val="00022534"/>
    <w:rsid w:val="000259EA"/>
    <w:rsid w:val="00041DE5"/>
    <w:rsid w:val="000429F4"/>
    <w:rsid w:val="00045F8E"/>
    <w:rsid w:val="00071805"/>
    <w:rsid w:val="00093D45"/>
    <w:rsid w:val="000B5C24"/>
    <w:rsid w:val="000B7E41"/>
    <w:rsid w:val="000C0970"/>
    <w:rsid w:val="000C40A5"/>
    <w:rsid w:val="000E51B9"/>
    <w:rsid w:val="001050B0"/>
    <w:rsid w:val="0014473C"/>
    <w:rsid w:val="0016433C"/>
    <w:rsid w:val="00165628"/>
    <w:rsid w:val="00170921"/>
    <w:rsid w:val="001B7F3B"/>
    <w:rsid w:val="001E3517"/>
    <w:rsid w:val="001E598F"/>
    <w:rsid w:val="00211EED"/>
    <w:rsid w:val="00236B82"/>
    <w:rsid w:val="002518C1"/>
    <w:rsid w:val="00254CBB"/>
    <w:rsid w:val="0025672B"/>
    <w:rsid w:val="00256BD5"/>
    <w:rsid w:val="00263344"/>
    <w:rsid w:val="00290B15"/>
    <w:rsid w:val="002D3796"/>
    <w:rsid w:val="002E527B"/>
    <w:rsid w:val="00332C71"/>
    <w:rsid w:val="003369A4"/>
    <w:rsid w:val="0034168B"/>
    <w:rsid w:val="00354796"/>
    <w:rsid w:val="0036659E"/>
    <w:rsid w:val="00375139"/>
    <w:rsid w:val="003A3FD6"/>
    <w:rsid w:val="003E5364"/>
    <w:rsid w:val="003F7026"/>
    <w:rsid w:val="004028FE"/>
    <w:rsid w:val="0041158B"/>
    <w:rsid w:val="00412FD3"/>
    <w:rsid w:val="00413947"/>
    <w:rsid w:val="0043518C"/>
    <w:rsid w:val="00437BFC"/>
    <w:rsid w:val="00446219"/>
    <w:rsid w:val="00470121"/>
    <w:rsid w:val="00471E88"/>
    <w:rsid w:val="00496CAD"/>
    <w:rsid w:val="004A4CEF"/>
    <w:rsid w:val="004B1AFF"/>
    <w:rsid w:val="004B654A"/>
    <w:rsid w:val="004C14B2"/>
    <w:rsid w:val="004E2A60"/>
    <w:rsid w:val="004F0270"/>
    <w:rsid w:val="0050541F"/>
    <w:rsid w:val="005571B2"/>
    <w:rsid w:val="00564CE3"/>
    <w:rsid w:val="005656AD"/>
    <w:rsid w:val="0058662A"/>
    <w:rsid w:val="0058702B"/>
    <w:rsid w:val="005A118D"/>
    <w:rsid w:val="005A78DE"/>
    <w:rsid w:val="005B1B7E"/>
    <w:rsid w:val="005E3827"/>
    <w:rsid w:val="006006C3"/>
    <w:rsid w:val="006123B3"/>
    <w:rsid w:val="00621012"/>
    <w:rsid w:val="00645124"/>
    <w:rsid w:val="00671740"/>
    <w:rsid w:val="006764F1"/>
    <w:rsid w:val="006C632B"/>
    <w:rsid w:val="006C7098"/>
    <w:rsid w:val="006E0EE3"/>
    <w:rsid w:val="007059A5"/>
    <w:rsid w:val="00716D05"/>
    <w:rsid w:val="00756306"/>
    <w:rsid w:val="00757472"/>
    <w:rsid w:val="00775E19"/>
    <w:rsid w:val="00791742"/>
    <w:rsid w:val="007936A3"/>
    <w:rsid w:val="00796ADB"/>
    <w:rsid w:val="007F215A"/>
    <w:rsid w:val="00802A4C"/>
    <w:rsid w:val="00832AB2"/>
    <w:rsid w:val="00847F8B"/>
    <w:rsid w:val="00853C9F"/>
    <w:rsid w:val="008A280E"/>
    <w:rsid w:val="008D1573"/>
    <w:rsid w:val="008D4F6D"/>
    <w:rsid w:val="00934A6F"/>
    <w:rsid w:val="00947838"/>
    <w:rsid w:val="00953508"/>
    <w:rsid w:val="00973344"/>
    <w:rsid w:val="009879FF"/>
    <w:rsid w:val="009A5375"/>
    <w:rsid w:val="009A6E47"/>
    <w:rsid w:val="009F745E"/>
    <w:rsid w:val="00A00172"/>
    <w:rsid w:val="00A40B07"/>
    <w:rsid w:val="00AD736B"/>
    <w:rsid w:val="00AF330C"/>
    <w:rsid w:val="00AF5EA3"/>
    <w:rsid w:val="00B57EE4"/>
    <w:rsid w:val="00B64C96"/>
    <w:rsid w:val="00B72A84"/>
    <w:rsid w:val="00B7474C"/>
    <w:rsid w:val="00B90FAC"/>
    <w:rsid w:val="00BA4877"/>
    <w:rsid w:val="00BE3948"/>
    <w:rsid w:val="00BE5912"/>
    <w:rsid w:val="00BF01E7"/>
    <w:rsid w:val="00C26A6E"/>
    <w:rsid w:val="00C34145"/>
    <w:rsid w:val="00C40D5C"/>
    <w:rsid w:val="00C43B01"/>
    <w:rsid w:val="00C536ED"/>
    <w:rsid w:val="00C62D6F"/>
    <w:rsid w:val="00C66DBF"/>
    <w:rsid w:val="00C76DDA"/>
    <w:rsid w:val="00C819C6"/>
    <w:rsid w:val="00C969E2"/>
    <w:rsid w:val="00CD59D4"/>
    <w:rsid w:val="00CF4E57"/>
    <w:rsid w:val="00D22F61"/>
    <w:rsid w:val="00D35F62"/>
    <w:rsid w:val="00D41A31"/>
    <w:rsid w:val="00D43549"/>
    <w:rsid w:val="00D65298"/>
    <w:rsid w:val="00D72A78"/>
    <w:rsid w:val="00D83CAC"/>
    <w:rsid w:val="00D90EBE"/>
    <w:rsid w:val="00D9256B"/>
    <w:rsid w:val="00DA3639"/>
    <w:rsid w:val="00DC67CB"/>
    <w:rsid w:val="00E04744"/>
    <w:rsid w:val="00E33199"/>
    <w:rsid w:val="00E54044"/>
    <w:rsid w:val="00E62933"/>
    <w:rsid w:val="00E748E6"/>
    <w:rsid w:val="00EA3069"/>
    <w:rsid w:val="00EA30C2"/>
    <w:rsid w:val="00EF341A"/>
    <w:rsid w:val="00F00848"/>
    <w:rsid w:val="00F01CBA"/>
    <w:rsid w:val="00F517BD"/>
    <w:rsid w:val="00F627BB"/>
    <w:rsid w:val="00F753EC"/>
    <w:rsid w:val="00F77281"/>
    <w:rsid w:val="00F87382"/>
    <w:rsid w:val="00F90E6C"/>
    <w:rsid w:val="00F948A0"/>
    <w:rsid w:val="00F96D7B"/>
    <w:rsid w:val="00FD42C8"/>
    <w:rsid w:val="00FD733B"/>
    <w:rsid w:val="00FE125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BC08FFC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6006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C62D6F"/>
    <w:pPr>
      <w:keepNext/>
      <w:keepLines/>
      <w:spacing w:before="480" w:after="120"/>
    </w:pPr>
    <w:rPr>
      <w:b/>
      <w:sz w:val="72"/>
      <w:szCs w:val="72"/>
      <w:lang w:val="es-SV"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C62D6F"/>
    <w:rPr>
      <w:b/>
      <w:sz w:val="72"/>
      <w:szCs w:val="72"/>
      <w:lang w:eastAsia="es-SV"/>
    </w:rPr>
  </w:style>
  <w:style w:type="paragraph" w:styleId="NormalWeb">
    <w:name w:val="Normal (Web)"/>
    <w:basedOn w:val="Normal"/>
    <w:uiPriority w:val="99"/>
    <w:unhideWhenUsed/>
    <w:locked/>
    <w:rsid w:val="00953508"/>
    <w:pPr>
      <w:spacing w:before="100" w:beforeAutospacing="1" w:after="100" w:afterAutospacing="1"/>
    </w:pPr>
    <w:rPr>
      <w:lang w:val="es-SV" w:eastAsia="es-SV"/>
    </w:rPr>
  </w:style>
  <w:style w:type="character" w:styleId="Refdecomentario">
    <w:name w:val="annotation reference"/>
    <w:basedOn w:val="Fuentedeprrafopredeter"/>
    <w:locked/>
    <w:rsid w:val="006006C3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6006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006C3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locked/>
    <w:rsid w:val="006006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06C3"/>
    <w:rPr>
      <w:b/>
      <w:bCs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006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mt.ventanilla.simple.s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mt.gob.s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mtdigital@mop.gob.s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io.aduana.gob.s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DC7447136C224A9501EAD708244533" ma:contentTypeVersion="0" ma:contentTypeDescription="Crear nuevo documento." ma:contentTypeScope="" ma:versionID="0d33dd241ad42a32f4ab003ddace35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3D6255-2FB9-4794-8B62-0FB926E52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6020E-3831-4B41-87F1-940FFA0AC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EE3F-303A-479E-9465-1E9089ABA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1008B-DCDD-4442-B3E8-A6DD9E88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Olga Patricia Lara Escobar</cp:lastModifiedBy>
  <cp:revision>2</cp:revision>
  <cp:lastPrinted>2025-10-29T14:24:00Z</cp:lastPrinted>
  <dcterms:created xsi:type="dcterms:W3CDTF">2025-11-03T20:50:00Z</dcterms:created>
  <dcterms:modified xsi:type="dcterms:W3CDTF">2025-11-03T20:50:00Z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0x010100B2DC7447136C224A9501EAD708244533</vt:lpwstr>
  </property>
</Properties>
</file>